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5B03" w14:textId="77777777" w:rsidR="005A1756" w:rsidRDefault="00517F73">
      <w:pPr>
        <w:spacing w:after="240"/>
        <w:jc w:val="center"/>
        <w:rPr>
          <w:rFonts w:ascii="Times New Roman" w:hAnsi="Times New Roman" w:cs="Times New Roman"/>
          <w:b/>
          <w:bCs/>
          <w:sz w:val="32"/>
          <w:szCs w:val="32"/>
        </w:rPr>
      </w:pPr>
      <w:r>
        <w:rPr>
          <w:rFonts w:ascii="Times New Roman" w:hAnsi="Times New Roman" w:cs="Times New Roman"/>
          <w:b/>
          <w:bCs/>
          <w:sz w:val="32"/>
          <w:szCs w:val="32"/>
        </w:rPr>
        <w:t>Gateway Determination</w:t>
      </w:r>
    </w:p>
    <w:p w14:paraId="4B455ACE" w14:textId="20106C78" w:rsidR="005A1756" w:rsidRDefault="00517F73">
      <w:pPr>
        <w:spacing w:after="240"/>
        <w:rPr>
          <w:i/>
          <w:iCs/>
          <w:color w:val="FF0000"/>
        </w:rPr>
      </w:pPr>
      <w:r>
        <w:rPr>
          <w:b/>
          <w:bCs/>
          <w:i/>
          <w:iCs/>
        </w:rPr>
        <w:t>Planning proposal (Department Ref</w:t>
      </w:r>
      <w:r w:rsidRPr="00671790">
        <w:rPr>
          <w:b/>
          <w:bCs/>
          <w:i/>
          <w:iCs/>
          <w:color w:val="auto"/>
        </w:rPr>
        <w:t>: PP-</w:t>
      </w:r>
      <w:sdt>
        <w:sdtPr>
          <w:rPr>
            <w:rStyle w:val="Style2"/>
            <w:color w:val="auto"/>
            <w:sz w:val="22"/>
            <w:szCs w:val="22"/>
          </w:rPr>
          <w:id w:val="910269976"/>
        </w:sdtPr>
        <w:sdtEndPr>
          <w:rPr>
            <w:rStyle w:val="Style2"/>
          </w:rPr>
        </w:sdtEndPr>
        <w:sdtContent>
          <w:r w:rsidRPr="00671790">
            <w:rPr>
              <w:rStyle w:val="Style2"/>
              <w:color w:val="auto"/>
              <w:sz w:val="22"/>
              <w:szCs w:val="22"/>
            </w:rPr>
            <w:t>2</w:t>
          </w:r>
          <w:r w:rsidR="00671790" w:rsidRPr="00671790">
            <w:rPr>
              <w:rStyle w:val="Style2"/>
              <w:color w:val="auto"/>
              <w:sz w:val="22"/>
              <w:szCs w:val="22"/>
            </w:rPr>
            <w:t>204-969</w:t>
          </w:r>
        </w:sdtContent>
      </w:sdt>
      <w:r w:rsidRPr="00671790">
        <w:rPr>
          <w:b/>
          <w:bCs/>
          <w:i/>
          <w:iCs/>
          <w:color w:val="auto"/>
        </w:rPr>
        <w:t>)</w:t>
      </w:r>
      <w:r w:rsidRPr="00671790">
        <w:rPr>
          <w:i/>
          <w:iCs/>
          <w:color w:val="auto"/>
        </w:rPr>
        <w:t xml:space="preserve">: </w:t>
      </w:r>
      <w:r w:rsidR="000120B2" w:rsidRPr="000120B2">
        <w:rPr>
          <w:color w:val="auto"/>
        </w:rPr>
        <w:t xml:space="preserve">to </w:t>
      </w:r>
      <w:r w:rsidR="00671790" w:rsidRPr="000120B2">
        <w:rPr>
          <w:color w:val="auto"/>
        </w:rPr>
        <w:t>amend</w:t>
      </w:r>
      <w:r w:rsidR="00671790" w:rsidRPr="00671790">
        <w:rPr>
          <w:color w:val="auto"/>
        </w:rPr>
        <w:t xml:space="preserve"> Schedule 1 of the Cabonne Local Environmental Plan 2012 fo</w:t>
      </w:r>
      <w:r w:rsidR="000120B2">
        <w:rPr>
          <w:color w:val="auto"/>
        </w:rPr>
        <w:t>r an</w:t>
      </w:r>
      <w:r w:rsidR="00671790" w:rsidRPr="00671790">
        <w:rPr>
          <w:color w:val="auto"/>
        </w:rPr>
        <w:t xml:space="preserve"> additional permitted use of a </w:t>
      </w:r>
      <w:r w:rsidR="00671790">
        <w:rPr>
          <w:color w:val="auto"/>
        </w:rPr>
        <w:t>child care facility</w:t>
      </w:r>
      <w:r w:rsidR="00671790" w:rsidRPr="00671790">
        <w:rPr>
          <w:color w:val="auto"/>
        </w:rPr>
        <w:t xml:space="preserve"> at </w:t>
      </w:r>
      <w:r w:rsidR="00671790">
        <w:rPr>
          <w:color w:val="auto"/>
        </w:rPr>
        <w:t>21 Noble Street, Eugowra</w:t>
      </w:r>
      <w:r w:rsidR="00671790" w:rsidRPr="00671790">
        <w:rPr>
          <w:color w:val="auto"/>
        </w:rPr>
        <w:t>, also described as Lot 150 DP750182.</w:t>
      </w:r>
    </w:p>
    <w:p w14:paraId="6A9A3C61" w14:textId="578F9AD8" w:rsidR="005A1756" w:rsidRPr="00671790" w:rsidRDefault="00517F73">
      <w:pPr>
        <w:spacing w:after="240"/>
        <w:rPr>
          <w:color w:val="FF0000"/>
        </w:rPr>
      </w:pPr>
      <w:r>
        <w:t xml:space="preserve">I, the </w:t>
      </w:r>
      <w:r w:rsidR="00671790" w:rsidRPr="00671790">
        <w:rPr>
          <w:color w:val="auto"/>
        </w:rPr>
        <w:t>Acting Director Southern, Western and Macarthur Region,</w:t>
      </w:r>
      <w:r w:rsidRPr="00671790">
        <w:rPr>
          <w:color w:val="auto"/>
        </w:rPr>
        <w:t xml:space="preserve"> </w:t>
      </w:r>
      <w:r>
        <w:t>at the Department of Planning and Environment, as delegate of the Minister for Planning and Homes, have determined under section 3.</w:t>
      </w:r>
      <w:r w:rsidRPr="00671790">
        <w:rPr>
          <w:color w:val="auto"/>
        </w:rPr>
        <w:t xml:space="preserve">34(2) of the </w:t>
      </w:r>
      <w:r w:rsidRPr="00671790">
        <w:rPr>
          <w:i/>
          <w:iCs/>
          <w:color w:val="auto"/>
        </w:rPr>
        <w:t>Environmental Planning and Assessment A</w:t>
      </w:r>
      <w:r w:rsidRPr="00671790">
        <w:rPr>
          <w:i/>
          <w:iCs/>
          <w:color w:val="auto"/>
        </w:rPr>
        <w:t xml:space="preserve">ct 1979 </w:t>
      </w:r>
      <w:r w:rsidRPr="00671790">
        <w:rPr>
          <w:color w:val="auto"/>
        </w:rPr>
        <w:t xml:space="preserve">(the Act) that an amendment to the </w:t>
      </w:r>
      <w:r w:rsidR="00671790" w:rsidRPr="00671790">
        <w:rPr>
          <w:color w:val="auto"/>
        </w:rPr>
        <w:t>Cabonne</w:t>
      </w:r>
      <w:r w:rsidRPr="00671790">
        <w:rPr>
          <w:color w:val="auto"/>
        </w:rPr>
        <w:t xml:space="preserve"> Local Environmental Plan </w:t>
      </w:r>
      <w:r w:rsidR="00671790" w:rsidRPr="00671790">
        <w:rPr>
          <w:color w:val="auto"/>
        </w:rPr>
        <w:t>2012</w:t>
      </w:r>
      <w:r w:rsidRPr="00671790">
        <w:rPr>
          <w:color w:val="auto"/>
        </w:rPr>
        <w:t xml:space="preserve"> to </w:t>
      </w:r>
      <w:r w:rsidR="00671790" w:rsidRPr="00671790">
        <w:rPr>
          <w:color w:val="auto"/>
        </w:rPr>
        <w:t xml:space="preserve">amend Schedule 1 of the Cabonne Local Environmental Plan 2012 (CLEP 2012) for an additional permitted use APU of a child care facility at 21 Noble Street, Eugowra, also described as Lot 150 DP750182 </w:t>
      </w:r>
      <w:r w:rsidRPr="00671790">
        <w:rPr>
          <w:color w:val="auto"/>
        </w:rPr>
        <w:t xml:space="preserve">should </w:t>
      </w:r>
      <w:r w:rsidR="00671790" w:rsidRPr="00671790">
        <w:rPr>
          <w:color w:val="auto"/>
        </w:rPr>
        <w:t>proceed subject to the following conditions:</w:t>
      </w:r>
      <w:r w:rsidRPr="00671790">
        <w:rPr>
          <w:color w:val="auto"/>
        </w:rPr>
        <w:t xml:space="preserve"> </w:t>
      </w:r>
    </w:p>
    <w:p w14:paraId="562883F4" w14:textId="77777777" w:rsidR="001E01B7" w:rsidRPr="006A46CF" w:rsidRDefault="00517F73" w:rsidP="001E01B7">
      <w:pPr>
        <w:numPr>
          <w:ilvl w:val="0"/>
          <w:numId w:val="6"/>
        </w:numPr>
        <w:spacing w:after="240"/>
        <w:rPr>
          <w:rStyle w:val="Style1"/>
          <w:sz w:val="22"/>
        </w:rPr>
      </w:pPr>
      <w:sdt>
        <w:sdtPr>
          <w:rPr>
            <w:rStyle w:val="Style1"/>
            <w:sz w:val="22"/>
          </w:rPr>
          <w:id w:val="-1976206046"/>
          <w:placeholder>
            <w:docPart w:val="C12B3DD540024CD78B575C8EC7EEC42A"/>
          </w:placeholder>
        </w:sdtPr>
        <w:sdtEndPr>
          <w:rPr>
            <w:rStyle w:val="DefaultParagraphFont"/>
            <w:i/>
            <w:szCs w:val="22"/>
          </w:rPr>
        </w:sdtEndPr>
        <w:sdtContent>
          <w:r w:rsidR="001E01B7">
            <w:rPr>
              <w:rStyle w:val="Style1"/>
              <w:sz w:val="22"/>
            </w:rPr>
            <w:t>Prior to public exhibition:</w:t>
          </w:r>
        </w:sdtContent>
      </w:sdt>
      <w:r w:rsidR="001E01B7">
        <w:rPr>
          <w:rStyle w:val="Style1"/>
          <w:sz w:val="22"/>
        </w:rPr>
        <w:t xml:space="preserve"> </w:t>
      </w:r>
    </w:p>
    <w:p w14:paraId="1F1EB2F1" w14:textId="56F7548A" w:rsidR="00517F73" w:rsidRDefault="00517F73" w:rsidP="001E01B7">
      <w:pPr>
        <w:numPr>
          <w:ilvl w:val="1"/>
          <w:numId w:val="6"/>
        </w:numPr>
        <w:spacing w:after="240"/>
        <w:ind w:left="1134" w:hanging="567"/>
      </w:pPr>
      <w:r>
        <w:t>T</w:t>
      </w:r>
      <w:r w:rsidRPr="00517F73">
        <w:t>he planning proposal should be updated to include a map of the flood impact land across the site</w:t>
      </w:r>
      <w:r>
        <w:t xml:space="preserve">. </w:t>
      </w:r>
    </w:p>
    <w:p w14:paraId="5D447F77" w14:textId="01C5DF93" w:rsidR="005A1756" w:rsidRPr="001E01B7" w:rsidRDefault="001E01B7" w:rsidP="001E01B7">
      <w:pPr>
        <w:numPr>
          <w:ilvl w:val="1"/>
          <w:numId w:val="6"/>
        </w:numPr>
        <w:spacing w:after="240"/>
        <w:ind w:left="1134" w:hanging="567"/>
      </w:pPr>
      <w:r w:rsidRPr="006A46CF">
        <w:t>Consultation is required with Rural Fire Service (RFS) to satisfy</w:t>
      </w:r>
      <w:r>
        <w:t xml:space="preserve"> the</w:t>
      </w:r>
      <w:r w:rsidRPr="006A46CF">
        <w:t xml:space="preserve"> inconsistency with section 9.1 Direction 4.3 Planning for bushfire protection. </w:t>
      </w:r>
    </w:p>
    <w:p w14:paraId="27DAECBF" w14:textId="77777777" w:rsidR="005A1756" w:rsidRDefault="00517F73" w:rsidP="001E01B7">
      <w:pPr>
        <w:numPr>
          <w:ilvl w:val="0"/>
          <w:numId w:val="6"/>
        </w:numPr>
        <w:spacing w:after="240"/>
      </w:pPr>
      <w:r>
        <w:t>Public exhibition is required under section 3.34(2)(c) and clause 4 of Schedule</w:t>
      </w:r>
      <w:r>
        <w:t xml:space="preserve"> 1 to the Act as follows:</w:t>
      </w:r>
    </w:p>
    <w:p w14:paraId="14B9202D" w14:textId="39449489" w:rsidR="005A1756" w:rsidRDefault="00517F73">
      <w:pPr>
        <w:numPr>
          <w:ilvl w:val="0"/>
          <w:numId w:val="2"/>
        </w:numPr>
        <w:spacing w:after="240"/>
      </w:pPr>
      <w:r>
        <w:t xml:space="preserve">the planning proposal is categorised as </w:t>
      </w:r>
      <w:sdt>
        <w:sdtPr>
          <w:id w:val="1944033988"/>
          <w:dropDownList>
            <w:listItem w:value="Choose an item."/>
            <w:listItem w:displayText="basic" w:value="basic"/>
            <w:listItem w:displayText="standard" w:value="standard"/>
            <w:listItem w:displayText="complex" w:value="complex"/>
            <w:listItem w:displayText="principal" w:value="principal"/>
          </w:dropDownList>
        </w:sdtPr>
        <w:sdtEndPr/>
        <w:sdtContent>
          <w:r w:rsidR="001E01B7">
            <w:t>standard</w:t>
          </w:r>
        </w:sdtContent>
      </w:sdt>
      <w:r>
        <w:rPr>
          <w:color w:val="FF0000"/>
        </w:rPr>
        <w:t xml:space="preserve"> </w:t>
      </w:r>
      <w:r>
        <w:t xml:space="preserve">as described in the </w:t>
      </w:r>
      <w:r>
        <w:rPr>
          <w:i/>
          <w:iCs/>
        </w:rPr>
        <w:t>Local Environmental Plan Making Guidelines</w:t>
      </w:r>
      <w:r>
        <w:t xml:space="preserve"> (Department of Planning and Environment, 2021) and must be made publicly available for a minimum of </w:t>
      </w:r>
      <w:sdt>
        <w:sdtPr>
          <w:id w:val="741064927"/>
          <w:dropDownList>
            <w:listItem w:value="Choose an item."/>
            <w:listItem w:displayText="10" w:value="10"/>
            <w:listItem w:displayText="20" w:value="20"/>
            <w:listItem w:displayText="30" w:value="30"/>
          </w:dropDownList>
        </w:sdtPr>
        <w:sdtEndPr/>
        <w:sdtContent>
          <w:r w:rsidR="001E01B7">
            <w:t>20</w:t>
          </w:r>
        </w:sdtContent>
      </w:sdt>
      <w:r>
        <w:rPr>
          <w:b/>
          <w:bCs/>
          <w:color w:val="FF0000"/>
        </w:rPr>
        <w:t xml:space="preserve"> </w:t>
      </w:r>
      <w:r w:rsidR="001E01B7">
        <w:rPr>
          <w:b/>
          <w:bCs/>
          <w:color w:val="FF0000"/>
        </w:rPr>
        <w:t xml:space="preserve"> </w:t>
      </w:r>
      <w:r w:rsidR="001E01B7" w:rsidRPr="001E01B7">
        <w:rPr>
          <w:color w:val="auto"/>
        </w:rPr>
        <w:t>working</w:t>
      </w:r>
      <w:r w:rsidR="001E01B7" w:rsidRPr="001E01B7">
        <w:rPr>
          <w:b/>
          <w:bCs/>
          <w:color w:val="auto"/>
        </w:rPr>
        <w:t xml:space="preserve"> </w:t>
      </w:r>
      <w:r>
        <w:t>da</w:t>
      </w:r>
      <w:r>
        <w:t>ys;</w:t>
      </w:r>
      <w:r>
        <w:rPr>
          <w:color w:val="FF0000"/>
        </w:rPr>
        <w:t xml:space="preserve"> </w:t>
      </w:r>
      <w:r>
        <w:t>and</w:t>
      </w:r>
    </w:p>
    <w:p w14:paraId="1D140816" w14:textId="77777777" w:rsidR="005A1756" w:rsidRDefault="00517F73">
      <w:pPr>
        <w:numPr>
          <w:ilvl w:val="0"/>
          <w:numId w:val="2"/>
        </w:numPr>
        <w:spacing w:after="240"/>
      </w:pPr>
      <w:r>
        <w:t xml:space="preserve">the planning proposal authority must comply with the notice requirements for public exhibition of planning proposals and the specifications for material that must be made publicly available along with planning proposals as identified in </w:t>
      </w:r>
      <w:r>
        <w:rPr>
          <w:i/>
          <w:iCs/>
        </w:rPr>
        <w:t>Local Envir</w:t>
      </w:r>
      <w:r>
        <w:rPr>
          <w:i/>
          <w:iCs/>
        </w:rPr>
        <w:t>onmental Plan Making Guidelines</w:t>
      </w:r>
      <w:r>
        <w:t xml:space="preserve"> (Department of Planning and Environment, 2021).</w:t>
      </w:r>
    </w:p>
    <w:p w14:paraId="72836F94" w14:textId="68D2DDE9" w:rsidR="005A1756" w:rsidRDefault="00517F73" w:rsidP="001E01B7">
      <w:pPr>
        <w:spacing w:after="240"/>
        <w:ind w:left="567" w:right="-188"/>
      </w:pPr>
      <w:r>
        <w:t xml:space="preserve">Exhibition must commence </w:t>
      </w:r>
      <w:bookmarkStart w:id="0" w:name="_Hlk82097805"/>
      <w:r w:rsidRPr="001E01B7">
        <w:rPr>
          <w:color w:val="auto"/>
        </w:rPr>
        <w:t>within</w:t>
      </w:r>
      <w:r w:rsidRPr="001E01B7">
        <w:rPr>
          <w:b/>
          <w:bCs/>
          <w:color w:val="auto"/>
        </w:rPr>
        <w:t xml:space="preserve"> </w:t>
      </w:r>
      <w:sdt>
        <w:sdtPr>
          <w:rPr>
            <w:rStyle w:val="Style1"/>
            <w:color w:val="auto"/>
            <w:sz w:val="22"/>
            <w:szCs w:val="22"/>
          </w:rPr>
          <w:id w:val="611795282"/>
        </w:sdtPr>
        <w:sdtEndPr>
          <w:rPr>
            <w:rStyle w:val="Style1"/>
          </w:rPr>
        </w:sdtEndPr>
        <w:sdtContent>
          <w:r w:rsidR="001E01B7" w:rsidRPr="001E01B7">
            <w:rPr>
              <w:color w:val="auto"/>
            </w:rPr>
            <w:t>3 months</w:t>
          </w:r>
        </w:sdtContent>
      </w:sdt>
      <w:r w:rsidRPr="001E01B7">
        <w:rPr>
          <w:color w:val="auto"/>
        </w:rPr>
        <w:t xml:space="preserve"> following </w:t>
      </w:r>
      <w:r>
        <w:t>the date of the gateway determination.</w:t>
      </w:r>
      <w:bookmarkEnd w:id="0"/>
      <w:r>
        <w:t xml:space="preserve"> </w:t>
      </w:r>
    </w:p>
    <w:p w14:paraId="72E93A8B" w14:textId="77777777" w:rsidR="005A1756" w:rsidRDefault="00517F73" w:rsidP="001E01B7">
      <w:pPr>
        <w:numPr>
          <w:ilvl w:val="0"/>
          <w:numId w:val="6"/>
        </w:numPr>
        <w:spacing w:after="240"/>
      </w:pPr>
      <w:r>
        <w:t xml:space="preserve">Consultation is required with the following public authorities and </w:t>
      </w:r>
      <w:r>
        <w:t>government agencies under section 3.34(2)(d) of the Act and/or to comply with the requirements of applicable directions of the Minister under section 9 of the EP&amp;A Act:</w:t>
      </w:r>
    </w:p>
    <w:p w14:paraId="415E2726" w14:textId="2C56508B" w:rsidR="001E01B7" w:rsidRPr="001E01B7" w:rsidRDefault="001E01B7">
      <w:pPr>
        <w:numPr>
          <w:ilvl w:val="0"/>
          <w:numId w:val="3"/>
        </w:numPr>
        <w:spacing w:after="240"/>
        <w:rPr>
          <w:color w:val="auto"/>
        </w:rPr>
      </w:pPr>
      <w:r w:rsidRPr="001E01B7">
        <w:rPr>
          <w:color w:val="auto"/>
        </w:rPr>
        <w:t>NSW Department of Climate Change, Energy, the Environment and Water</w:t>
      </w:r>
    </w:p>
    <w:p w14:paraId="7877EA5E" w14:textId="4C284EA6" w:rsidR="005A1756" w:rsidRPr="001E01B7" w:rsidRDefault="001E01B7">
      <w:pPr>
        <w:numPr>
          <w:ilvl w:val="0"/>
          <w:numId w:val="3"/>
        </w:numPr>
        <w:spacing w:after="240"/>
        <w:rPr>
          <w:color w:val="auto"/>
        </w:rPr>
      </w:pPr>
      <w:r w:rsidRPr="001E01B7">
        <w:rPr>
          <w:color w:val="auto"/>
        </w:rPr>
        <w:t xml:space="preserve">Crown Land </w:t>
      </w:r>
    </w:p>
    <w:p w14:paraId="07E7CEE8" w14:textId="73357E17" w:rsidR="005A1756" w:rsidRDefault="00517F73">
      <w:pPr>
        <w:spacing w:after="240"/>
        <w:ind w:left="567"/>
      </w:pPr>
      <w:r>
        <w:t>Each pu</w:t>
      </w:r>
      <w:r>
        <w:t xml:space="preserve">blic authority is to be provided with a copy of the planning proposal and any relevant supporting material via the NSW Planning Portal and given at least </w:t>
      </w:r>
      <w:sdt>
        <w:sdtPr>
          <w:id w:val="-1621690993"/>
          <w:dropDownList>
            <w:listItem w:value="Choose an item."/>
            <w:listItem w:displayText="30" w:value="30"/>
            <w:listItem w:displayText="40" w:value="40"/>
          </w:dropDownList>
        </w:sdtPr>
        <w:sdtEndPr/>
        <w:sdtContent>
          <w:r w:rsidR="001E01B7">
            <w:t>30</w:t>
          </w:r>
        </w:sdtContent>
      </w:sdt>
      <w:r>
        <w:rPr>
          <w:b/>
          <w:bCs/>
        </w:rPr>
        <w:t xml:space="preserve"> </w:t>
      </w:r>
      <w:r>
        <w:t>days to comment on the proposal.</w:t>
      </w:r>
    </w:p>
    <w:p w14:paraId="62319F65" w14:textId="77777777" w:rsidR="005A1756" w:rsidRDefault="00517F73" w:rsidP="001E01B7">
      <w:pPr>
        <w:numPr>
          <w:ilvl w:val="0"/>
          <w:numId w:val="6"/>
        </w:numPr>
        <w:spacing w:after="240"/>
      </w:pPr>
      <w:r>
        <w:lastRenderedPageBreak/>
        <w:t>A public hearing is not required to be held into the matter by a</w:t>
      </w:r>
      <w:r>
        <w:t>ny person or body under section 3.34(2)(e) of the EP&amp;A Act. This does not discharge Council from any obligation it may otherwise have to conduct a public hearing (for example, in response to a submission or if reclassifying land).</w:t>
      </w:r>
    </w:p>
    <w:p w14:paraId="24BCD20A" w14:textId="34EC6445" w:rsidR="005A1756" w:rsidRDefault="00517F73" w:rsidP="001E01B7">
      <w:pPr>
        <w:numPr>
          <w:ilvl w:val="0"/>
          <w:numId w:val="6"/>
        </w:numPr>
        <w:spacing w:after="240"/>
      </w:pPr>
      <w:bookmarkStart w:id="1" w:name="_Hlk507510347"/>
      <w:r>
        <w:t xml:space="preserve">The </w:t>
      </w:r>
      <w:sdt>
        <w:sdtPr>
          <w:id w:val="-197402505"/>
          <w:dropDownList>
            <w:listItem w:value="Choose an item."/>
            <w:listItem w:displayText="Council as planning proposal authority" w:value="Council as planning proposal authority"/>
            <w:listItem w:displayText="Panel as planning proposal authority" w:value="Panel as planning proposal authority"/>
            <w:listItem w:displayText="Secretary as planning proposal authority" w:value="Secretary as planning proposal authority"/>
          </w:dropDownList>
        </w:sdtPr>
        <w:sdtEndPr/>
        <w:sdtContent>
          <w:r w:rsidR="00671790">
            <w:t>Council as planning proposal authority</w:t>
          </w:r>
        </w:sdtContent>
      </w:sdt>
      <w:r>
        <w:rPr>
          <w:b/>
          <w:bCs/>
        </w:rPr>
        <w:t xml:space="preserve"> </w:t>
      </w:r>
      <w:r>
        <w:t>planning proposal authority is authorised to exercise the functions of the local plan-making authority under section 3.36(2) of the EP&amp;A Act subject to the following:</w:t>
      </w:r>
    </w:p>
    <w:p w14:paraId="7AD29622" w14:textId="77777777" w:rsidR="005A1756" w:rsidRDefault="00517F73">
      <w:pPr>
        <w:numPr>
          <w:ilvl w:val="1"/>
          <w:numId w:val="4"/>
        </w:numPr>
        <w:spacing w:after="240"/>
        <w:ind w:left="1134" w:hanging="567"/>
      </w:pPr>
      <w:r>
        <w:t>the planning proposal authority has satisfied all the conditions of t</w:t>
      </w:r>
      <w:r>
        <w:t>he gateway determination;</w:t>
      </w:r>
    </w:p>
    <w:p w14:paraId="7BD681A5" w14:textId="77777777" w:rsidR="005A1756" w:rsidRDefault="00517F73">
      <w:pPr>
        <w:numPr>
          <w:ilvl w:val="1"/>
          <w:numId w:val="4"/>
        </w:numPr>
        <w:spacing w:after="240"/>
        <w:ind w:left="1134" w:hanging="567"/>
      </w:pPr>
      <w:r>
        <w:t>the planning proposal is consistent with applicable directions of the Minister under section 9.1 of the EP&amp;A Act</w:t>
      </w:r>
      <w:r>
        <w:rPr>
          <w:rStyle w:val="CommentReference"/>
          <w:sz w:val="22"/>
          <w:szCs w:val="22"/>
        </w:rPr>
        <w:t xml:space="preserve"> </w:t>
      </w:r>
      <w:r>
        <w:t xml:space="preserve">or the Secretary has agreed that any inconsistencies are justified; and </w:t>
      </w:r>
    </w:p>
    <w:p w14:paraId="6F389B56" w14:textId="77777777" w:rsidR="005A1756" w:rsidRDefault="00517F73">
      <w:pPr>
        <w:numPr>
          <w:ilvl w:val="1"/>
          <w:numId w:val="4"/>
        </w:numPr>
        <w:spacing w:after="240"/>
        <w:ind w:left="1134" w:hanging="567"/>
      </w:pPr>
      <w:r>
        <w:t xml:space="preserve">there are no outstanding written objections </w:t>
      </w:r>
      <w:r>
        <w:t>from public authorities.</w:t>
      </w:r>
    </w:p>
    <w:bookmarkEnd w:id="1"/>
    <w:p w14:paraId="69AC30F2" w14:textId="2E31FFCF" w:rsidR="005A1756" w:rsidRDefault="00517F73" w:rsidP="001E01B7">
      <w:pPr>
        <w:numPr>
          <w:ilvl w:val="0"/>
          <w:numId w:val="6"/>
        </w:numPr>
        <w:spacing w:after="240"/>
      </w:pPr>
      <w:r>
        <w:t xml:space="preserve">The LEP should be completed on or </w:t>
      </w:r>
      <w:r w:rsidRPr="001E01B7">
        <w:rPr>
          <w:color w:val="auto"/>
        </w:rPr>
        <w:t xml:space="preserve">before </w:t>
      </w:r>
      <w:bookmarkStart w:id="2" w:name="_Hlk90892320"/>
      <w:sdt>
        <w:sdtPr>
          <w:rPr>
            <w:rFonts w:ascii="Times New Roman" w:hAnsi="Times New Roman" w:cs="Times New Roman"/>
            <w:color w:val="auto"/>
          </w:rPr>
          <w:id w:val="1883211005"/>
        </w:sdtPr>
        <w:sdtEndPr/>
        <w:sdtContent>
          <w:r>
            <w:rPr>
              <w:color w:val="auto"/>
            </w:rPr>
            <w:t>28 March</w:t>
          </w:r>
          <w:r w:rsidR="001E01B7" w:rsidRPr="001E01B7">
            <w:rPr>
              <w:color w:val="auto"/>
            </w:rPr>
            <w:t xml:space="preserve"> 2025</w:t>
          </w:r>
        </w:sdtContent>
      </w:sdt>
      <w:bookmarkEnd w:id="2"/>
      <w:r w:rsidRPr="001E01B7">
        <w:rPr>
          <w:rFonts w:ascii="Times New Roman" w:hAnsi="Times New Roman" w:cs="Times New Roman"/>
          <w:color w:val="auto"/>
        </w:rPr>
        <w:t>.</w:t>
      </w:r>
    </w:p>
    <w:p w14:paraId="0DDE93C0" w14:textId="77777777" w:rsidR="005A1756" w:rsidRDefault="005A1756">
      <w:pPr>
        <w:tabs>
          <w:tab w:val="left" w:pos="2268"/>
          <w:tab w:val="left" w:pos="5670"/>
        </w:tabs>
        <w:spacing w:after="0"/>
      </w:pPr>
    </w:p>
    <w:p w14:paraId="2ED6EC71" w14:textId="1389F813" w:rsidR="005A1756" w:rsidRDefault="00517F73">
      <w:pPr>
        <w:tabs>
          <w:tab w:val="left" w:pos="2268"/>
          <w:tab w:val="left" w:pos="5670"/>
        </w:tabs>
        <w:spacing w:after="0"/>
      </w:pPr>
      <w:r>
        <w:t>Dated 28 June 2024</w:t>
      </w:r>
      <w:r w:rsidRPr="001E01B7">
        <w:rPr>
          <w:color w:val="auto"/>
        </w:rPr>
        <w:t>.</w:t>
      </w:r>
    </w:p>
    <w:p w14:paraId="06396DAA" w14:textId="77777777" w:rsidR="005A1756" w:rsidRDefault="005A1756">
      <w:pPr>
        <w:spacing w:after="0"/>
      </w:pPr>
    </w:p>
    <w:tbl>
      <w:tblPr>
        <w:tblW w:w="5000" w:type="pct"/>
        <w:tblCellMar>
          <w:top w:w="45" w:type="dxa"/>
          <w:left w:w="75" w:type="dxa"/>
          <w:bottom w:w="45" w:type="dxa"/>
          <w:right w:w="75" w:type="dxa"/>
        </w:tblCellMar>
        <w:tblLook w:val="01E0" w:firstRow="1" w:lastRow="1" w:firstColumn="1" w:lastColumn="1" w:noHBand="0" w:noVBand="0"/>
      </w:tblPr>
      <w:tblGrid>
        <w:gridCol w:w="4618"/>
        <w:gridCol w:w="4618"/>
      </w:tblGrid>
      <w:tr w:rsidR="005A1756" w14:paraId="2A9E40E8" w14:textId="77777777">
        <w:tc>
          <w:tcPr>
            <w:tcW w:w="4535" w:type="dxa"/>
          </w:tcPr>
          <w:p w14:paraId="6430D897" w14:textId="77777777" w:rsidR="005A1756" w:rsidRDefault="005A1756">
            <w:pPr>
              <w:spacing w:before="0" w:after="0"/>
              <w:jc w:val="both"/>
            </w:pPr>
          </w:p>
        </w:tc>
        <w:tc>
          <w:tcPr>
            <w:tcW w:w="4535" w:type="dxa"/>
          </w:tcPr>
          <w:p w14:paraId="40F1FDC9" w14:textId="77777777" w:rsidR="005A1756" w:rsidRDefault="005A1756">
            <w:pPr>
              <w:spacing w:before="0" w:after="0"/>
              <w:jc w:val="both"/>
              <w:rPr>
                <w:b/>
                <w:bCs/>
                <w:highlight w:val="yellow"/>
              </w:rPr>
            </w:pPr>
          </w:p>
          <w:p w14:paraId="69566715" w14:textId="7519405E" w:rsidR="005A1756" w:rsidRPr="00517F73" w:rsidRDefault="00517F73" w:rsidP="00517F73">
            <w:pPr>
              <w:spacing w:before="0" w:after="0"/>
              <w:rPr>
                <w:rFonts w:ascii="Calibri" w:hAnsi="Calibri" w:cs="Calibri"/>
                <w:color w:val="auto"/>
              </w:rPr>
            </w:pPr>
            <w:r w:rsidRPr="00517F73">
              <w:rPr>
                <w:b/>
                <w:bCs/>
                <w:noProof/>
              </w:rPr>
              <w:drawing>
                <wp:inline distT="0" distB="0" distL="0" distR="0" wp14:anchorId="70B880BF" wp14:editId="094A3E0C">
                  <wp:extent cx="1685925" cy="5715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571500"/>
                          </a:xfrm>
                          <a:prstGeom prst="rect">
                            <a:avLst/>
                          </a:prstGeom>
                          <a:noFill/>
                          <a:ln>
                            <a:noFill/>
                          </a:ln>
                        </pic:spPr>
                      </pic:pic>
                    </a:graphicData>
                  </a:graphic>
                </wp:inline>
              </w:drawing>
            </w:r>
          </w:p>
          <w:p w14:paraId="32BD92A1" w14:textId="0667AEE4" w:rsidR="005A1756" w:rsidRPr="000120B2" w:rsidRDefault="00517F73">
            <w:pPr>
              <w:spacing w:before="0" w:after="0"/>
              <w:rPr>
                <w:color w:val="FF0000"/>
              </w:rPr>
            </w:pPr>
            <w:r>
              <w:rPr>
                <w:rStyle w:val="Style2"/>
              </w:rPr>
              <w:t>Chantelle Chow</w:t>
            </w:r>
          </w:p>
          <w:p w14:paraId="2F1D727D" w14:textId="6B9F26F9" w:rsidR="005A1756" w:rsidRDefault="001E01B7">
            <w:pPr>
              <w:spacing w:before="0" w:after="0"/>
              <w:rPr>
                <w:rStyle w:val="Style2"/>
                <w:sz w:val="22"/>
                <w:szCs w:val="22"/>
              </w:rPr>
            </w:pPr>
            <w:r w:rsidRPr="000120B2">
              <w:rPr>
                <w:b/>
                <w:bCs/>
                <w:color w:val="auto"/>
              </w:rPr>
              <w:t>Acting Director</w:t>
            </w:r>
            <w:r w:rsidR="00517F73">
              <w:rPr>
                <w:b/>
                <w:bCs/>
                <w:color w:val="auto"/>
              </w:rPr>
              <w:t xml:space="preserve">, </w:t>
            </w:r>
            <w:r w:rsidRPr="000120B2">
              <w:rPr>
                <w:rStyle w:val="Style2"/>
                <w:sz w:val="22"/>
                <w:szCs w:val="22"/>
              </w:rPr>
              <w:t>Southern, Western and Macarthur</w:t>
            </w:r>
          </w:p>
          <w:p w14:paraId="53A70123" w14:textId="0D7E1A2F" w:rsidR="00517F73" w:rsidRPr="00517F73" w:rsidRDefault="00517F73">
            <w:pPr>
              <w:spacing w:before="0" w:after="0"/>
              <w:rPr>
                <w:b/>
                <w:bCs/>
                <w:color w:val="auto"/>
              </w:rPr>
            </w:pPr>
            <w:r>
              <w:rPr>
                <w:b/>
                <w:bCs/>
                <w:color w:val="auto"/>
              </w:rPr>
              <w:t>L</w:t>
            </w:r>
            <w:r w:rsidRPr="00517F73">
              <w:rPr>
                <w:b/>
                <w:bCs/>
                <w:color w:val="auto"/>
              </w:rPr>
              <w:t>ocal Planning and Council Support</w:t>
            </w:r>
          </w:p>
          <w:p w14:paraId="17BDFCA1" w14:textId="77777777" w:rsidR="005A1756" w:rsidRPr="000120B2" w:rsidRDefault="00517F73">
            <w:pPr>
              <w:spacing w:before="0" w:after="0"/>
              <w:rPr>
                <w:b/>
                <w:bCs/>
              </w:rPr>
            </w:pPr>
            <w:r w:rsidRPr="000120B2">
              <w:rPr>
                <w:b/>
                <w:bCs/>
              </w:rPr>
              <w:t xml:space="preserve">Department of Planning and Environment </w:t>
            </w:r>
          </w:p>
          <w:p w14:paraId="6E917072" w14:textId="77777777" w:rsidR="005A1756" w:rsidRPr="000120B2" w:rsidRDefault="005A1756">
            <w:pPr>
              <w:spacing w:before="0" w:after="0"/>
              <w:rPr>
                <w:b/>
                <w:bCs/>
              </w:rPr>
            </w:pPr>
          </w:p>
          <w:p w14:paraId="5C93BBF3" w14:textId="77777777" w:rsidR="005A1756" w:rsidRDefault="00517F73">
            <w:pPr>
              <w:spacing w:before="0" w:after="0"/>
              <w:rPr>
                <w:b/>
                <w:bCs/>
              </w:rPr>
            </w:pPr>
            <w:r w:rsidRPr="000120B2">
              <w:rPr>
                <w:b/>
                <w:bCs/>
              </w:rPr>
              <w:t xml:space="preserve">Delegate of the Minister for </w:t>
            </w:r>
            <w:r w:rsidRPr="000120B2">
              <w:rPr>
                <w:b/>
                <w:bCs/>
              </w:rPr>
              <w:t>Planning and Homes</w:t>
            </w:r>
          </w:p>
        </w:tc>
      </w:tr>
    </w:tbl>
    <w:p w14:paraId="142CBFC7" w14:textId="77777777" w:rsidR="005A1756" w:rsidRDefault="005A1756"/>
    <w:sectPr w:rsidR="005A1756">
      <w:footerReference w:type="default" r:id="rId9"/>
      <w:headerReference w:type="first" r:id="rId10"/>
      <w:pgSz w:w="11906" w:h="16838"/>
      <w:pgMar w:top="1410" w:right="1410" w:bottom="1125" w:left="1410" w:header="555" w:footer="39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533A2" w14:textId="77777777" w:rsidR="0021250A" w:rsidRDefault="0021250A">
      <w:pPr>
        <w:spacing w:before="0" w:after="0"/>
      </w:pPr>
      <w:r>
        <w:separator/>
      </w:r>
    </w:p>
  </w:endnote>
  <w:endnote w:type="continuationSeparator" w:id="0">
    <w:p w14:paraId="6C9834EF" w14:textId="77777777" w:rsidR="0021250A" w:rsidRDefault="0021250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69524" w14:textId="73C6D5E9" w:rsidR="005A1756" w:rsidRDefault="00517F73">
    <w:pPr>
      <w:pStyle w:val="Footer"/>
      <w:jc w:val="right"/>
      <w:rPr>
        <w:color w:val="FF0000"/>
      </w:rPr>
    </w:pPr>
    <w:r>
      <w:rPr>
        <w:color w:val="FF0000"/>
      </w:rPr>
      <w:t>PP-20</w:t>
    </w:r>
    <w:r w:rsidR="00671790">
      <w:rPr>
        <w:color w:val="FF0000"/>
      </w:rPr>
      <w:t xml:space="preserve">24-969 </w:t>
    </w:r>
    <w:r>
      <w:rPr>
        <w:color w:val="FF0000"/>
      </w:rPr>
      <w:t>(IRF</w:t>
    </w:r>
    <w:r w:rsidR="00671790">
      <w:rPr>
        <w:color w:val="FF0000"/>
      </w:rPr>
      <w:t>24/675</w:t>
    </w:r>
    <w:r>
      <w:rPr>
        <w:color w:val="FF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80D5D" w14:textId="77777777" w:rsidR="0021250A" w:rsidRDefault="0021250A">
      <w:pPr>
        <w:spacing w:before="0" w:after="0"/>
      </w:pPr>
      <w:r>
        <w:separator/>
      </w:r>
    </w:p>
  </w:footnote>
  <w:footnote w:type="continuationSeparator" w:id="0">
    <w:p w14:paraId="3C46133F" w14:textId="77777777" w:rsidR="0021250A" w:rsidRDefault="0021250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B59D" w14:textId="5AE6920D" w:rsidR="005A1756" w:rsidRDefault="00517F73">
    <w:pPr>
      <w:tabs>
        <w:tab w:val="right" w:pos="9026"/>
      </w:tabs>
      <w:spacing w:before="240"/>
      <w:rPr>
        <w:rFonts w:ascii="Times New Roman" w:hAnsi="Times New Roman" w:cs="Times New Roman"/>
        <w:b/>
        <w:bCs/>
      </w:rPr>
    </w:pPr>
    <w:r>
      <w:rPr>
        <w:noProof/>
      </w:rPr>
      <w:drawing>
        <wp:inline distT="0" distB="0" distL="0" distR="0" wp14:anchorId="3DC5A6CE" wp14:editId="629CF3B7">
          <wp:extent cx="720000" cy="72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ChangeAspect="1" noChangeArrowheads="1"/>
                  </pic:cNvPicPr>
                </pic:nvPicPr>
                <pic:blipFill>
                  <a:blip r:embed="rId1"/>
                  <a:srcRect/>
                  <a:stretch>
                    <a:fillRect/>
                  </a:stretch>
                </pic:blipFill>
                <pic:spPr>
                  <a:xfrm>
                    <a:off x="0" y="0"/>
                    <a:ext cx="720000" cy="720000"/>
                  </a:xfrm>
                  <a:prstGeom prst="rect">
                    <a:avLst/>
                  </a:prstGeom>
                  <a:noFill/>
                  <a:ln>
                    <a:noFill/>
                  </a:ln>
                </pic:spPr>
              </pic:pic>
            </a:graphicData>
          </a:graphic>
        </wp:inline>
      </w:drawing>
    </w:r>
    <w:r>
      <w:rPr>
        <w:rFonts w:ascii="Times New Roman" w:hAnsi="Times New Roman" w:cs="Times New Roman"/>
        <w:b/>
        <w:bCs/>
      </w:rPr>
      <w:tab/>
      <w:t>Department of Planning</w:t>
    </w:r>
    <w:r w:rsidR="00267218">
      <w:rPr>
        <w:rFonts w:ascii="Times New Roman" w:hAnsi="Times New Roman" w:cs="Times New Roman"/>
        <w:b/>
        <w:bCs/>
      </w:rPr>
      <w:t>, Housing and Infrastructure</w:t>
    </w:r>
  </w:p>
  <w:p w14:paraId="6518343B" w14:textId="77777777" w:rsidR="005A1756" w:rsidRDefault="005A1756">
    <w:pPr>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0F86196"/>
    <w:lvl w:ilvl="0" w:tplc="24A0778E">
      <w:start w:val="1"/>
      <w:numFmt w:val="lowerLetter"/>
      <w:lvlText w:val="(%1)"/>
      <w:lvlJc w:val="left"/>
      <w:pPr>
        <w:ind w:left="1134" w:hanging="567"/>
      </w:pPr>
      <w:rPr>
        <w:i w:val="0"/>
        <w:iCs w:val="0"/>
      </w:rPr>
    </w:lvl>
    <w:lvl w:ilvl="1" w:tplc="E2A8F08A">
      <w:start w:val="1"/>
      <w:numFmt w:val="lowerLetter"/>
      <w:lvlText w:val="%2."/>
      <w:lvlJc w:val="left"/>
      <w:pPr>
        <w:ind w:left="1440" w:hanging="360"/>
      </w:pPr>
    </w:lvl>
    <w:lvl w:ilvl="2" w:tplc="982C356C">
      <w:start w:val="1"/>
      <w:numFmt w:val="lowerRoman"/>
      <w:lvlText w:val="%3."/>
      <w:lvlJc w:val="left"/>
      <w:pPr>
        <w:ind w:left="2160" w:hanging="180"/>
      </w:pPr>
    </w:lvl>
    <w:lvl w:ilvl="3" w:tplc="C80AAE34">
      <w:start w:val="1"/>
      <w:numFmt w:val="decimal"/>
      <w:lvlText w:val="%4."/>
      <w:lvlJc w:val="left"/>
      <w:pPr>
        <w:ind w:left="2880" w:hanging="360"/>
      </w:pPr>
    </w:lvl>
    <w:lvl w:ilvl="4" w:tplc="A8D206FA">
      <w:start w:val="1"/>
      <w:numFmt w:val="lowerLetter"/>
      <w:lvlText w:val="%5."/>
      <w:lvlJc w:val="left"/>
      <w:pPr>
        <w:ind w:left="3600" w:hanging="360"/>
      </w:pPr>
    </w:lvl>
    <w:lvl w:ilvl="5" w:tplc="FB629A40">
      <w:start w:val="1"/>
      <w:numFmt w:val="lowerRoman"/>
      <w:lvlText w:val="%6."/>
      <w:lvlJc w:val="left"/>
      <w:pPr>
        <w:ind w:left="4320" w:hanging="180"/>
      </w:pPr>
    </w:lvl>
    <w:lvl w:ilvl="6" w:tplc="1D2ED0F4">
      <w:start w:val="1"/>
      <w:numFmt w:val="decimal"/>
      <w:lvlText w:val="%7."/>
      <w:lvlJc w:val="left"/>
      <w:pPr>
        <w:ind w:left="5040" w:hanging="360"/>
      </w:pPr>
    </w:lvl>
    <w:lvl w:ilvl="7" w:tplc="AE78C4C8">
      <w:start w:val="1"/>
      <w:numFmt w:val="lowerLetter"/>
      <w:lvlText w:val="%8."/>
      <w:lvlJc w:val="left"/>
      <w:pPr>
        <w:ind w:left="5760" w:hanging="360"/>
      </w:pPr>
    </w:lvl>
    <w:lvl w:ilvl="8" w:tplc="A176B5D2">
      <w:start w:val="1"/>
      <w:numFmt w:val="lowerRoman"/>
      <w:lvlText w:val="%9."/>
      <w:lvlJc w:val="left"/>
      <w:pPr>
        <w:ind w:left="6480" w:hanging="180"/>
      </w:pPr>
    </w:lvl>
  </w:abstractNum>
  <w:abstractNum w:abstractNumId="1" w15:restartNumberingAfterBreak="0">
    <w:nsid w:val="00000002"/>
    <w:multiLevelType w:val="hybridMultilevel"/>
    <w:tmpl w:val="0206E98E"/>
    <w:lvl w:ilvl="0" w:tplc="AD2A9AF8">
      <w:start w:val="1"/>
      <w:numFmt w:val="decimal"/>
      <w:lvlText w:val="%1."/>
      <w:lvlJc w:val="left"/>
      <w:pPr>
        <w:ind w:left="567" w:hanging="567"/>
      </w:pPr>
      <w:rPr>
        <w:b w:val="0"/>
        <w:bCs w:val="0"/>
        <w:color w:val="000000"/>
      </w:rPr>
    </w:lvl>
    <w:lvl w:ilvl="1" w:tplc="C07E1CF2">
      <w:start w:val="1"/>
      <w:numFmt w:val="lowerLetter"/>
      <w:lvlText w:val="(%2)"/>
      <w:lvlJc w:val="left"/>
      <w:pPr>
        <w:ind w:left="1440" w:hanging="360"/>
      </w:pPr>
      <w:rPr>
        <w:i w:val="0"/>
        <w:iCs w:val="0"/>
      </w:rPr>
    </w:lvl>
    <w:lvl w:ilvl="2" w:tplc="E5DA6AB0">
      <w:start w:val="1"/>
      <w:numFmt w:val="lowerRoman"/>
      <w:lvlText w:val="%3."/>
      <w:lvlJc w:val="left"/>
      <w:pPr>
        <w:ind w:left="2160" w:hanging="180"/>
      </w:pPr>
    </w:lvl>
    <w:lvl w:ilvl="3" w:tplc="49442C9C">
      <w:start w:val="1"/>
      <w:numFmt w:val="decimal"/>
      <w:lvlText w:val="%4."/>
      <w:lvlJc w:val="left"/>
      <w:pPr>
        <w:ind w:left="2880" w:hanging="360"/>
      </w:pPr>
    </w:lvl>
    <w:lvl w:ilvl="4" w:tplc="B21C6AA0">
      <w:start w:val="1"/>
      <w:numFmt w:val="lowerLetter"/>
      <w:lvlText w:val="%5."/>
      <w:lvlJc w:val="left"/>
      <w:pPr>
        <w:ind w:left="3600" w:hanging="360"/>
      </w:pPr>
    </w:lvl>
    <w:lvl w:ilvl="5" w:tplc="0B120ACC">
      <w:start w:val="1"/>
      <w:numFmt w:val="lowerRoman"/>
      <w:lvlText w:val="%6."/>
      <w:lvlJc w:val="left"/>
      <w:pPr>
        <w:ind w:left="4320" w:hanging="180"/>
      </w:pPr>
    </w:lvl>
    <w:lvl w:ilvl="6" w:tplc="6E4AAFB2">
      <w:start w:val="1"/>
      <w:numFmt w:val="decimal"/>
      <w:lvlText w:val="%7."/>
      <w:lvlJc w:val="left"/>
      <w:pPr>
        <w:ind w:left="5040" w:hanging="360"/>
      </w:pPr>
    </w:lvl>
    <w:lvl w:ilvl="7" w:tplc="D1A64BFC">
      <w:start w:val="1"/>
      <w:numFmt w:val="lowerLetter"/>
      <w:lvlText w:val="%8."/>
      <w:lvlJc w:val="left"/>
      <w:pPr>
        <w:ind w:left="5760" w:hanging="360"/>
      </w:pPr>
    </w:lvl>
    <w:lvl w:ilvl="8" w:tplc="4F9A47D8">
      <w:start w:val="1"/>
      <w:numFmt w:val="lowerRoman"/>
      <w:lvlText w:val="%9."/>
      <w:lvlJc w:val="left"/>
      <w:pPr>
        <w:ind w:left="6480" w:hanging="180"/>
      </w:pPr>
    </w:lvl>
  </w:abstractNum>
  <w:abstractNum w:abstractNumId="2" w15:restartNumberingAfterBreak="0">
    <w:nsid w:val="00000003"/>
    <w:multiLevelType w:val="hybridMultilevel"/>
    <w:tmpl w:val="D13096DE"/>
    <w:lvl w:ilvl="0" w:tplc="4A6A305A">
      <w:start w:val="1"/>
      <w:numFmt w:val="bullet"/>
      <w:lvlText w:val=""/>
      <w:lvlJc w:val="left"/>
      <w:pPr>
        <w:ind w:left="1134" w:hanging="567"/>
      </w:pPr>
      <w:rPr>
        <w:rFonts w:ascii="Symbol" w:hAnsi="Symbol" w:cs="Symbol"/>
        <w:color w:val="000000"/>
      </w:rPr>
    </w:lvl>
    <w:lvl w:ilvl="1" w:tplc="3BB84F60">
      <w:start w:val="1"/>
      <w:numFmt w:val="bullet"/>
      <w:lvlText w:val="o"/>
      <w:lvlJc w:val="left"/>
      <w:pPr>
        <w:ind w:left="1440" w:hanging="360"/>
      </w:pPr>
      <w:rPr>
        <w:rFonts w:ascii="Courier New" w:hAnsi="Courier New" w:cs="Courier New"/>
      </w:rPr>
    </w:lvl>
    <w:lvl w:ilvl="2" w:tplc="7EA88FC2">
      <w:start w:val="1"/>
      <w:numFmt w:val="bullet"/>
      <w:lvlText w:val=""/>
      <w:lvlJc w:val="left"/>
      <w:pPr>
        <w:ind w:left="2160" w:hanging="360"/>
      </w:pPr>
      <w:rPr>
        <w:rFonts w:ascii="Wingdings" w:hAnsi="Wingdings" w:cs="Wingdings"/>
      </w:rPr>
    </w:lvl>
    <w:lvl w:ilvl="3" w:tplc="8A068EBA">
      <w:start w:val="1"/>
      <w:numFmt w:val="bullet"/>
      <w:lvlText w:val=""/>
      <w:lvlJc w:val="left"/>
      <w:pPr>
        <w:ind w:left="2880" w:hanging="360"/>
      </w:pPr>
      <w:rPr>
        <w:rFonts w:ascii="Symbol" w:hAnsi="Symbol" w:cs="Symbol"/>
      </w:rPr>
    </w:lvl>
    <w:lvl w:ilvl="4" w:tplc="FED61768">
      <w:start w:val="1"/>
      <w:numFmt w:val="bullet"/>
      <w:lvlText w:val="o"/>
      <w:lvlJc w:val="left"/>
      <w:pPr>
        <w:ind w:left="3600" w:hanging="360"/>
      </w:pPr>
      <w:rPr>
        <w:rFonts w:ascii="Courier New" w:hAnsi="Courier New" w:cs="Courier New"/>
      </w:rPr>
    </w:lvl>
    <w:lvl w:ilvl="5" w:tplc="774AC974">
      <w:start w:val="1"/>
      <w:numFmt w:val="bullet"/>
      <w:lvlText w:val=""/>
      <w:lvlJc w:val="left"/>
      <w:pPr>
        <w:ind w:left="4320" w:hanging="360"/>
      </w:pPr>
      <w:rPr>
        <w:rFonts w:ascii="Wingdings" w:hAnsi="Wingdings" w:cs="Wingdings"/>
      </w:rPr>
    </w:lvl>
    <w:lvl w:ilvl="6" w:tplc="1F5ED9A6">
      <w:start w:val="1"/>
      <w:numFmt w:val="bullet"/>
      <w:lvlText w:val=""/>
      <w:lvlJc w:val="left"/>
      <w:pPr>
        <w:ind w:left="5040" w:hanging="360"/>
      </w:pPr>
      <w:rPr>
        <w:rFonts w:ascii="Symbol" w:hAnsi="Symbol" w:cs="Symbol"/>
      </w:rPr>
    </w:lvl>
    <w:lvl w:ilvl="7" w:tplc="38FA587E">
      <w:start w:val="1"/>
      <w:numFmt w:val="bullet"/>
      <w:lvlText w:val="o"/>
      <w:lvlJc w:val="left"/>
      <w:pPr>
        <w:ind w:left="5760" w:hanging="360"/>
      </w:pPr>
      <w:rPr>
        <w:rFonts w:ascii="Courier New" w:hAnsi="Courier New" w:cs="Courier New"/>
      </w:rPr>
    </w:lvl>
    <w:lvl w:ilvl="8" w:tplc="7592D998">
      <w:start w:val="1"/>
      <w:numFmt w:val="bullet"/>
      <w:lvlText w:val=""/>
      <w:lvlJc w:val="left"/>
      <w:pPr>
        <w:ind w:left="6480" w:hanging="360"/>
      </w:pPr>
      <w:rPr>
        <w:rFonts w:ascii="Wingdings" w:hAnsi="Wingdings" w:cs="Wingdings"/>
      </w:rPr>
    </w:lvl>
  </w:abstractNum>
  <w:abstractNum w:abstractNumId="3" w15:restartNumberingAfterBreak="0">
    <w:nsid w:val="039A5900"/>
    <w:multiLevelType w:val="hybridMultilevel"/>
    <w:tmpl w:val="133C59E6"/>
    <w:lvl w:ilvl="0" w:tplc="A4A839C8">
      <w:start w:val="1"/>
      <w:numFmt w:val="decimal"/>
      <w:lvlText w:val="%1."/>
      <w:lvlJc w:val="left"/>
      <w:pPr>
        <w:tabs>
          <w:tab w:val="num" w:pos="567"/>
        </w:tabs>
        <w:ind w:left="567" w:hanging="567"/>
      </w:pPr>
      <w:rPr>
        <w:rFonts w:hint="default"/>
        <w:b w:val="0"/>
        <w:color w:val="auto"/>
      </w:rPr>
    </w:lvl>
    <w:lvl w:ilvl="1" w:tplc="8530FAC2">
      <w:start w:val="1"/>
      <w:numFmt w:val="lowerLetter"/>
      <w:lvlText w:val="(%2)"/>
      <w:lvlJc w:val="left"/>
      <w:pPr>
        <w:ind w:left="1440" w:hanging="360"/>
      </w:pPr>
      <w:rPr>
        <w:rFonts w:hint="default"/>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E30084E"/>
    <w:multiLevelType w:val="hybridMultilevel"/>
    <w:tmpl w:val="FEDCDCD2"/>
    <w:lvl w:ilvl="0" w:tplc="23B40502">
      <w:start w:val="1"/>
      <w:numFmt w:val="decimal"/>
      <w:lvlText w:val="%1."/>
      <w:lvlJc w:val="left"/>
      <w:pPr>
        <w:ind w:left="567" w:hanging="567"/>
      </w:pPr>
      <w:rPr>
        <w:b w:val="0"/>
        <w:bCs w:val="0"/>
        <w:color w:val="000000"/>
      </w:rPr>
    </w:lvl>
    <w:lvl w:ilvl="1" w:tplc="6D5E4906">
      <w:start w:val="1"/>
      <w:numFmt w:val="lowerLetter"/>
      <w:lvlText w:val="%2."/>
      <w:lvlJc w:val="left"/>
      <w:pPr>
        <w:ind w:left="1440" w:hanging="360"/>
      </w:pPr>
    </w:lvl>
    <w:lvl w:ilvl="2" w:tplc="D81A092C">
      <w:start w:val="1"/>
      <w:numFmt w:val="lowerRoman"/>
      <w:lvlText w:val="%3."/>
      <w:lvlJc w:val="left"/>
      <w:pPr>
        <w:ind w:left="2160" w:hanging="180"/>
      </w:pPr>
    </w:lvl>
    <w:lvl w:ilvl="3" w:tplc="458A1CF8">
      <w:start w:val="1"/>
      <w:numFmt w:val="decimal"/>
      <w:lvlText w:val="%4."/>
      <w:lvlJc w:val="left"/>
      <w:pPr>
        <w:ind w:left="2880" w:hanging="360"/>
      </w:pPr>
    </w:lvl>
    <w:lvl w:ilvl="4" w:tplc="C50E307A">
      <w:start w:val="1"/>
      <w:numFmt w:val="lowerLetter"/>
      <w:lvlText w:val="%5."/>
      <w:lvlJc w:val="left"/>
      <w:pPr>
        <w:ind w:left="3600" w:hanging="360"/>
      </w:pPr>
    </w:lvl>
    <w:lvl w:ilvl="5" w:tplc="02946916">
      <w:start w:val="1"/>
      <w:numFmt w:val="lowerRoman"/>
      <w:lvlText w:val="%6."/>
      <w:lvlJc w:val="left"/>
      <w:pPr>
        <w:ind w:left="4320" w:hanging="180"/>
      </w:pPr>
    </w:lvl>
    <w:lvl w:ilvl="6" w:tplc="E88289CE">
      <w:start w:val="1"/>
      <w:numFmt w:val="decimal"/>
      <w:lvlText w:val="%7."/>
      <w:lvlJc w:val="left"/>
      <w:pPr>
        <w:ind w:left="5040" w:hanging="360"/>
      </w:pPr>
    </w:lvl>
    <w:lvl w:ilvl="7" w:tplc="45402F4A">
      <w:start w:val="1"/>
      <w:numFmt w:val="lowerLetter"/>
      <w:lvlText w:val="%8."/>
      <w:lvlJc w:val="left"/>
      <w:pPr>
        <w:ind w:left="5760" w:hanging="360"/>
      </w:pPr>
    </w:lvl>
    <w:lvl w:ilvl="8" w:tplc="87E85444">
      <w:start w:val="1"/>
      <w:numFmt w:val="lowerRoman"/>
      <w:lvlText w:val="%9."/>
      <w:lvlJc w:val="left"/>
      <w:pPr>
        <w:ind w:left="6480" w:hanging="180"/>
      </w:pPr>
    </w:lvl>
  </w:abstractNum>
  <w:abstractNum w:abstractNumId="5" w15:restartNumberingAfterBreak="0">
    <w:nsid w:val="79917269"/>
    <w:multiLevelType w:val="multilevel"/>
    <w:tmpl w:val="DD42C7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180224">
    <w:abstractNumId w:val="4"/>
  </w:num>
  <w:num w:numId="2" w16cid:durableId="1324431875">
    <w:abstractNumId w:val="0"/>
  </w:num>
  <w:num w:numId="3" w16cid:durableId="1430933866">
    <w:abstractNumId w:val="2"/>
  </w:num>
  <w:num w:numId="4" w16cid:durableId="1182860732">
    <w:abstractNumId w:val="1"/>
  </w:num>
  <w:num w:numId="5" w16cid:durableId="1031565632">
    <w:abstractNumId w:val="5"/>
  </w:num>
  <w:num w:numId="6" w16cid:durableId="19569780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A1756"/>
    <w:rsid w:val="000120B2"/>
    <w:rsid w:val="001E01B7"/>
    <w:rsid w:val="0021250A"/>
    <w:rsid w:val="00267218"/>
    <w:rsid w:val="00333016"/>
    <w:rsid w:val="00517F73"/>
    <w:rsid w:val="005A1756"/>
    <w:rsid w:val="006717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8DD5F"/>
  <w15:docId w15:val="{0542B70F-EB03-43B8-83D3-991ECCBCC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color w:val="000000"/>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line="240" w:lineRule="auto"/>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ListParagraph">
    <w:name w:val="List Paragraph"/>
    <w:basedOn w:val="Normal"/>
    <w:uiPriority w:val="34"/>
    <w:qFormat/>
    <w:pPr>
      <w:ind w:left="720"/>
    </w:pPr>
  </w:style>
  <w:style w:type="character" w:styleId="Hyperlink">
    <w:name w:val="Hyperlink"/>
    <w:basedOn w:val="DefaultParagraphFont"/>
    <w:uiPriority w:val="99"/>
    <w:rPr>
      <w:color w:val="0563C1" w:themeColor="hyperlink"/>
      <w:u w:val="single"/>
    </w:rPr>
  </w:style>
  <w:style w:type="character" w:styleId="UnresolvedMention">
    <w:name w:val="Unresolved Mention"/>
    <w:basedOn w:val="DefaultParagraphFont"/>
    <w:uiPriority w:val="99"/>
    <w:rPr>
      <w:color w:val="808080"/>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paragraph" w:styleId="Revision">
    <w:name w:val="Revision"/>
    <w:uiPriority w:val="99"/>
    <w:pPr>
      <w:spacing w:after="0" w:line="240" w:lineRule="auto"/>
    </w:pPr>
  </w:style>
  <w:style w:type="character" w:styleId="PlaceholderText">
    <w:name w:val="Placeholder Text"/>
    <w:basedOn w:val="DefaultParagraphFont"/>
    <w:uiPriority w:val="99"/>
    <w:rPr>
      <w:color w:val="808080"/>
    </w:rPr>
  </w:style>
  <w:style w:type="character" w:customStyle="1" w:styleId="Style1">
    <w:name w:val="Style1"/>
    <w:basedOn w:val="DefaultParagraphFont"/>
    <w:uiPriority w:val="1"/>
    <w:rPr>
      <w:rFonts w:ascii="Arial" w:hAnsi="Arial" w:cs="Arial"/>
      <w:sz w:val="24"/>
      <w:szCs w:val="24"/>
    </w:rPr>
  </w:style>
  <w:style w:type="character" w:customStyle="1" w:styleId="Style2">
    <w:name w:val="Style2"/>
    <w:basedOn w:val="DefaultParagraphFont"/>
    <w:uiPriority w:val="1"/>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18020">
      <w:bodyDiv w:val="1"/>
      <w:marLeft w:val="0"/>
      <w:marRight w:val="0"/>
      <w:marTop w:val="0"/>
      <w:marBottom w:val="0"/>
      <w:divBdr>
        <w:top w:val="none" w:sz="0" w:space="0" w:color="auto"/>
        <w:left w:val="none" w:sz="0" w:space="0" w:color="auto"/>
        <w:bottom w:val="none" w:sz="0" w:space="0" w:color="auto"/>
        <w:right w:val="none" w:sz="0" w:space="0" w:color="auto"/>
      </w:divBdr>
      <w:divsChild>
        <w:div w:id="1944532308">
          <w:marLeft w:val="0"/>
          <w:marRight w:val="0"/>
          <w:marTop w:val="0"/>
          <w:marBottom w:val="0"/>
          <w:divBdr>
            <w:top w:val="none" w:sz="0" w:space="0" w:color="auto"/>
            <w:left w:val="none" w:sz="0" w:space="0" w:color="auto"/>
            <w:bottom w:val="none" w:sz="0" w:space="0" w:color="auto"/>
            <w:right w:val="none" w:sz="0" w:space="0" w:color="auto"/>
          </w:divBdr>
          <w:divsChild>
            <w:div w:id="1186407259">
              <w:marLeft w:val="0"/>
              <w:marRight w:val="0"/>
              <w:marTop w:val="0"/>
              <w:marBottom w:val="0"/>
              <w:divBdr>
                <w:top w:val="none" w:sz="0" w:space="0" w:color="auto"/>
                <w:left w:val="none" w:sz="0" w:space="0" w:color="auto"/>
                <w:bottom w:val="none" w:sz="0" w:space="0" w:color="auto"/>
                <w:right w:val="none" w:sz="0" w:space="0" w:color="auto"/>
              </w:divBdr>
              <w:divsChild>
                <w:div w:id="193870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2B3DD540024CD78B575C8EC7EEC42A"/>
        <w:category>
          <w:name w:val="General"/>
          <w:gallery w:val="placeholder"/>
        </w:category>
        <w:types>
          <w:type w:val="bbPlcHdr"/>
        </w:types>
        <w:behaviors>
          <w:behavior w:val="content"/>
        </w:behaviors>
        <w:guid w:val="{DDB53764-68AD-43B5-A783-205AF7CE76AA}"/>
      </w:docPartPr>
      <w:docPartBody>
        <w:p w:rsidR="00E57061" w:rsidRDefault="00E01BDC" w:rsidP="00E01BDC">
          <w:pPr>
            <w:pStyle w:val="C12B3DD540024CD78B575C8EC7EEC42A"/>
          </w:pPr>
          <w:r w:rsidRPr="001C675E">
            <w:rPr>
              <w:rFonts w:eastAsia="Times New Roman" w:cs="Arial"/>
              <w:iCs/>
              <w:color w:val="00B050"/>
            </w:rPr>
            <w:t>Insert any conditions specific to this determination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BDC"/>
    <w:rsid w:val="0033249B"/>
    <w:rsid w:val="00662583"/>
    <w:rsid w:val="00E01BDC"/>
    <w:rsid w:val="00E570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12B3DD540024CD78B575C8EC7EEC42A">
    <w:name w:val="C12B3DD540024CD78B575C8EC7EEC42A"/>
    <w:rsid w:val="00E01B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file>

<file path=customXml/itemProps1.xml><?xml version="1.0" encoding="utf-8"?>
<ds:datastoreItem xmlns:ds="http://schemas.openxmlformats.org/officeDocument/2006/customXml" ds:itemID="{588E0736-0E91-43C0-990B-E1BC358D3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550</Words>
  <Characters>2983</Characters>
  <Application>Microsoft Office Word</Application>
  <DocSecurity>0</DocSecurity>
  <Lines>85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Chantelle Chow</cp:lastModifiedBy>
  <cp:revision>5</cp:revision>
  <dcterms:created xsi:type="dcterms:W3CDTF">2024-05-24T15:54:00Z</dcterms:created>
  <dcterms:modified xsi:type="dcterms:W3CDTF">2024-06-29T15:02:00Z</dcterms:modified>
</cp:coreProperties>
</file>